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200" w:line="240" w:lineRule="auto"/>
        <w:rPr>
          <w:b w:val="1"/>
          <w:sz w:val="22"/>
          <w:szCs w:val="22"/>
        </w:rPr>
      </w:pPr>
      <w:bookmarkStart w:colFirst="0" w:colLast="0" w:name="_yad13ilndt2o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Tokenomics</w:t>
      </w:r>
    </w:p>
    <w:p w:rsidR="00000000" w:rsidDel="00000000" w:rsidP="00000000" w:rsidRDefault="00000000" w:rsidRPr="00000000" w14:paraId="00000002">
      <w:pPr>
        <w:spacing w:after="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Created by Hgminerva</w:t>
      </w:r>
    </w:p>
    <w:p w:rsidR="00000000" w:rsidDel="00000000" w:rsidP="00000000" w:rsidRDefault="00000000" w:rsidRPr="00000000" w14:paraId="00000004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Last updated: 2 months ago • 2 min read</w:t>
      </w:r>
    </w:p>
    <w:p w:rsidR="00000000" w:rsidDel="00000000" w:rsidP="00000000" w:rsidRDefault="00000000" w:rsidRPr="00000000" w14:paraId="00000005">
      <w:pPr>
        <w:spacing w:after="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XON is used as a medium of exchange for transactions within Xode Blockchain and may also serve other functions such as incentivizing network participants, paying for transaction fees, and facilitating the execution of smart contracts.</w:t>
      </w:r>
    </w:p>
    <w:p w:rsidR="00000000" w:rsidDel="00000000" w:rsidP="00000000" w:rsidRDefault="00000000" w:rsidRPr="00000000" w14:paraId="00000007">
      <w:pPr>
        <w:spacing w:after="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200" w:line="240" w:lineRule="auto"/>
        <w:rPr>
          <w:b w:val="1"/>
          <w:color w:val="000000"/>
          <w:sz w:val="22"/>
          <w:szCs w:val="22"/>
        </w:rPr>
      </w:pPr>
      <w:bookmarkStart w:colFirst="0" w:colLast="0" w:name="_s9sxqworh5cp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Total Supply and Initial Price</w:t>
      </w:r>
    </w:p>
    <w:p w:rsidR="00000000" w:rsidDel="00000000" w:rsidP="00000000" w:rsidRDefault="00000000" w:rsidRPr="00000000" w14:paraId="00000009">
      <w:pPr>
        <w:pStyle w:val="Heading4"/>
        <w:spacing w:after="0" w:before="200" w:line="240" w:lineRule="auto"/>
        <w:rPr>
          <w:sz w:val="22"/>
          <w:szCs w:val="22"/>
        </w:rPr>
      </w:pPr>
      <w:bookmarkStart w:colFirst="0" w:colLast="0" w:name="_f99qhjzbboc2" w:id="2"/>
      <w:bookmarkEnd w:id="2"/>
      <w:r w:rsidDel="00000000" w:rsidR="00000000" w:rsidRPr="00000000">
        <w:rPr>
          <w:sz w:val="22"/>
          <w:szCs w:val="22"/>
          <w:rtl w:val="0"/>
        </w:rPr>
        <w:t xml:space="preserve">Total Supply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 Supply: 1.2 billion (1,224,937,488.2724) XON</w:t>
      </w:r>
    </w:p>
    <w:p w:rsidR="00000000" w:rsidDel="00000000" w:rsidP="00000000" w:rsidRDefault="00000000" w:rsidRPr="00000000" w14:paraId="0000000B">
      <w:pPr>
        <w:pStyle w:val="Heading4"/>
        <w:spacing w:after="0" w:before="200" w:line="240" w:lineRule="auto"/>
        <w:rPr>
          <w:sz w:val="22"/>
          <w:szCs w:val="22"/>
        </w:rPr>
      </w:pPr>
      <w:bookmarkStart w:colFirst="0" w:colLast="0" w:name="_1sy44v1nr8s5" w:id="3"/>
      <w:bookmarkEnd w:id="3"/>
      <w:r w:rsidDel="00000000" w:rsidR="00000000" w:rsidRPr="00000000">
        <w:rPr>
          <w:sz w:val="22"/>
          <w:szCs w:val="22"/>
          <w:rtl w:val="0"/>
        </w:rPr>
        <w:t xml:space="preserve">API End-points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 Supply: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https://wallet-api.xode.net/chain/totalsupply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 Circulating Supply: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https://wallet-api.xode.net/chain/circulatingsupply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3"/>
        <w:spacing w:after="0" w:before="200" w:line="240" w:lineRule="auto"/>
        <w:rPr>
          <w:b w:val="1"/>
          <w:color w:val="000000"/>
          <w:sz w:val="22"/>
          <w:szCs w:val="22"/>
        </w:rPr>
      </w:pPr>
      <w:bookmarkStart w:colFirst="0" w:colLast="0" w:name="_uy9zifl0b7pr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Coin Distribution</w:t>
      </w:r>
    </w:p>
    <w:p w:rsidR="00000000" w:rsidDel="00000000" w:rsidP="00000000" w:rsidRDefault="00000000" w:rsidRPr="00000000" w14:paraId="00000010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Style w:val="Heading4"/>
        <w:spacing w:after="0" w:before="200" w:line="240" w:lineRule="auto"/>
        <w:rPr>
          <w:sz w:val="22"/>
          <w:szCs w:val="22"/>
        </w:rPr>
      </w:pPr>
      <w:bookmarkStart w:colFirst="0" w:colLast="0" w:name="_jgp1byc9tcvp" w:id="5"/>
      <w:bookmarkEnd w:id="5"/>
      <w:r w:rsidDel="00000000" w:rsidR="00000000" w:rsidRPr="00000000">
        <w:rPr>
          <w:sz w:val="22"/>
          <w:szCs w:val="22"/>
          <w:rtl w:val="0"/>
        </w:rPr>
        <w:t xml:space="preserve">XON Lockup - 70%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Locked Coins: 857 million (857,456,241.79068) XON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Management: Managed by Xode Foundation (DAO)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Staking Structure: Locked coins are held within the Xode Foundation (DAO)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Burn Schedule: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Annually, 10% of the locked coins will be burned over a period of 8 years.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burn schedule can be dynamically adjusted based on governance decisions to respond to market conditions.</w:t>
      </w:r>
    </w:p>
    <w:p w:rsidR="00000000" w:rsidDel="00000000" w:rsidP="00000000" w:rsidRDefault="00000000" w:rsidRPr="00000000" w14:paraId="00000018">
      <w:pPr>
        <w:pStyle w:val="Heading4"/>
        <w:spacing w:after="0" w:before="200" w:line="240" w:lineRule="auto"/>
        <w:rPr>
          <w:sz w:val="22"/>
          <w:szCs w:val="22"/>
        </w:rPr>
      </w:pPr>
      <w:bookmarkStart w:colFirst="0" w:colLast="0" w:name="_7oufsunv2an1" w:id="6"/>
      <w:bookmarkEnd w:id="6"/>
      <w:r w:rsidDel="00000000" w:rsidR="00000000" w:rsidRPr="00000000">
        <w:rPr>
          <w:sz w:val="22"/>
          <w:szCs w:val="22"/>
          <w:rtl w:val="0"/>
        </w:rPr>
        <w:t xml:space="preserve">Staking Rewards - 10%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Coin Quantity: 120 million (122,493,748.82724) XON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 Reward Rate: 4%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Purpose: To enhance network stability and security through staking participation</w:t>
      </w:r>
    </w:p>
    <w:p w:rsidR="00000000" w:rsidDel="00000000" w:rsidP="00000000" w:rsidRDefault="00000000" w:rsidRPr="00000000" w14:paraId="0000001C">
      <w:pPr>
        <w:pStyle w:val="Heading4"/>
        <w:spacing w:after="0" w:before="200" w:line="240" w:lineRule="auto"/>
        <w:rPr>
          <w:sz w:val="22"/>
          <w:szCs w:val="22"/>
        </w:rPr>
      </w:pPr>
      <w:bookmarkStart w:colFirst="0" w:colLast="0" w:name="_xrkbevmefnnu" w:id="7"/>
      <w:bookmarkEnd w:id="7"/>
      <w:r w:rsidDel="00000000" w:rsidR="00000000" w:rsidRPr="00000000">
        <w:rPr>
          <w:sz w:val="22"/>
          <w:szCs w:val="22"/>
          <w:rtl w:val="0"/>
        </w:rPr>
        <w:t xml:space="preserve">Allocation of Remaining - 20%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Coin Quantity: 244 million (244,987,497.65448) XON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Private Sale (5%)</w:t>
      </w:r>
    </w:p>
    <w:p w:rsidR="00000000" w:rsidDel="00000000" w:rsidP="00000000" w:rsidRDefault="00000000" w:rsidRPr="00000000" w14:paraId="0000001F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Coin Quantity: 61 million (61,246,895.41362) XON</w:t>
      </w:r>
    </w:p>
    <w:p w:rsidR="00000000" w:rsidDel="00000000" w:rsidP="00000000" w:rsidRDefault="00000000" w:rsidRPr="00000000" w14:paraId="00000020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Purpose: To raise initial capital and involve strategic partners.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Exchange Liquidity Provision (5%)</w:t>
      </w:r>
    </w:p>
    <w:p w:rsidR="00000000" w:rsidDel="00000000" w:rsidP="00000000" w:rsidRDefault="00000000" w:rsidRPr="00000000" w14:paraId="00000022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Coin Quantity: 61 million (61,246,895.41362) XON</w:t>
      </w:r>
    </w:p>
    <w:p w:rsidR="00000000" w:rsidDel="00000000" w:rsidP="00000000" w:rsidRDefault="00000000" w:rsidRPr="00000000" w14:paraId="00000023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Purpose: To ensure liquidity for smooth trading on exchanges.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and Developer Compensation (2%)</w:t>
      </w:r>
    </w:p>
    <w:p w:rsidR="00000000" w:rsidDel="00000000" w:rsidP="00000000" w:rsidRDefault="00000000" w:rsidRPr="00000000" w14:paraId="00000025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Coin Quantity: 24 million (24,498,749.765448) XON</w:t>
      </w:r>
    </w:p>
    <w:p w:rsidR="00000000" w:rsidDel="00000000" w:rsidP="00000000" w:rsidRDefault="00000000" w:rsidRPr="00000000" w14:paraId="00000026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Purpose: To reward the team and developers for their contributions and ongoing support.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Marketing and Community Development (2%)</w:t>
      </w:r>
    </w:p>
    <w:p w:rsidR="00000000" w:rsidDel="00000000" w:rsidP="00000000" w:rsidRDefault="00000000" w:rsidRPr="00000000" w14:paraId="00000028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Coin Quantity: 24 million (24,498,749.765448) XON</w:t>
      </w:r>
    </w:p>
    <w:p w:rsidR="00000000" w:rsidDel="00000000" w:rsidP="00000000" w:rsidRDefault="00000000" w:rsidRPr="00000000" w14:paraId="00000029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Purpose: To drive marketing initiatives and foster community growth.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Partnerships and Ecosystem Expansion (2%)</w:t>
      </w:r>
    </w:p>
    <w:p w:rsidR="00000000" w:rsidDel="00000000" w:rsidP="00000000" w:rsidRDefault="00000000" w:rsidRPr="00000000" w14:paraId="0000002B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Coin Quantity: 24 million (24,498,749.765448) XON</w:t>
      </w:r>
    </w:p>
    <w:p w:rsidR="00000000" w:rsidDel="00000000" w:rsidP="00000000" w:rsidRDefault="00000000" w:rsidRPr="00000000" w14:paraId="0000002C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Purpose: To build strategic partnerships and expand the ecosystem.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Reserve Fund (2%)</w:t>
      </w:r>
    </w:p>
    <w:p w:rsidR="00000000" w:rsidDel="00000000" w:rsidP="00000000" w:rsidRDefault="00000000" w:rsidRPr="00000000" w14:paraId="0000002E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Coin Quantity: 24 million (24,498,749.765448) XON</w:t>
      </w:r>
    </w:p>
    <w:p w:rsidR="00000000" w:rsidDel="00000000" w:rsidP="00000000" w:rsidRDefault="00000000" w:rsidRPr="00000000" w14:paraId="0000002F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Purpose: To provide a buffer for unforeseen circumstances and ensure stability.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before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Founders (2%)</w:t>
      </w:r>
    </w:p>
    <w:p w:rsidR="00000000" w:rsidDel="00000000" w:rsidP="00000000" w:rsidRDefault="00000000" w:rsidRPr="00000000" w14:paraId="00000031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Coin Quantity: 24 million (24,498,749.765448) XON</w:t>
      </w:r>
    </w:p>
    <w:p w:rsidR="00000000" w:rsidDel="00000000" w:rsidP="00000000" w:rsidRDefault="00000000" w:rsidRPr="00000000" w14:paraId="00000032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Purpose: To reward the founders for their vision and leadership.</w:t>
      </w:r>
    </w:p>
    <w:p w:rsidR="00000000" w:rsidDel="00000000" w:rsidP="00000000" w:rsidRDefault="00000000" w:rsidRPr="00000000" w14:paraId="00000033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spacing w:after="0" w:before="200" w:line="240" w:lineRule="auto"/>
        <w:rPr>
          <w:b w:val="1"/>
          <w:color w:val="000000"/>
          <w:sz w:val="22"/>
          <w:szCs w:val="22"/>
        </w:rPr>
      </w:pPr>
      <w:bookmarkStart w:colFirst="0" w:colLast="0" w:name="_6xkmug6ukp1k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Governance and Flexibility</w:t>
      </w:r>
    </w:p>
    <w:p w:rsidR="00000000" w:rsidDel="00000000" w:rsidP="00000000" w:rsidRDefault="00000000" w:rsidRPr="00000000" w14:paraId="00000035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Xode Foundation (DAO) plays a critical role in the management and governance of the locked coins. The community, through Xode Foundation (DAO), has the authority to dynamically adjust the burn schedule, allowing for a flexible and responsive coin economy. This decentralized approach ensures decisions are made in the best interest of the community and the long-term health of the Xode ecosystem.</w:t>
      </w:r>
    </w:p>
    <w:p w:rsidR="00000000" w:rsidDel="00000000" w:rsidP="00000000" w:rsidRDefault="00000000" w:rsidRPr="00000000" w14:paraId="00000036">
      <w:pPr>
        <w:pStyle w:val="Heading3"/>
        <w:spacing w:after="0" w:before="200" w:line="240" w:lineRule="auto"/>
        <w:rPr>
          <w:b w:val="1"/>
          <w:color w:val="000000"/>
          <w:sz w:val="22"/>
          <w:szCs w:val="22"/>
        </w:rPr>
      </w:pPr>
      <w:bookmarkStart w:colFirst="0" w:colLast="0" w:name="_mcthb6up2pci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Conclusion</w:t>
      </w:r>
    </w:p>
    <w:p w:rsidR="00000000" w:rsidDel="00000000" w:rsidP="00000000" w:rsidRDefault="00000000" w:rsidRPr="00000000" w14:paraId="00000037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Xode’s tokenomics strategy is focused on long-term value creation, stability, and community empowerment. By locking a significant portion of the coins and implementing a flexible burn schedule, Xode ensures a sustainable growth trajectory. The strategic allocation of the remaining coins supports liquidity, development, marketing, partnerships, and reserve needs, creating a balanced and robust foundation for the future.</w:t>
      </w:r>
    </w:p>
    <w:p w:rsidR="00000000" w:rsidDel="00000000" w:rsidP="00000000" w:rsidRDefault="00000000" w:rsidRPr="00000000" w14:paraId="00000038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before="200" w:line="240" w:lineRule="auto"/>
        <w:rPr/>
      </w:pPr>
      <w:r w:rsidDel="00000000" w:rsidR="00000000" w:rsidRPr="00000000">
        <w:rPr>
          <w:rtl w:val="0"/>
        </w:rPr>
        <w:t xml:space="preserve">We invite all stakeholders to join us in building a decentralized, resilient, and thriving Xode ecosystem.</w:t>
      </w:r>
    </w:p>
    <w:p w:rsidR="00000000" w:rsidDel="00000000" w:rsidP="00000000" w:rsidRDefault="00000000" w:rsidRPr="00000000" w14:paraId="0000003A">
      <w:pPr>
        <w:spacing w:after="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200" w:line="24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llet-api.xode.net/chain/totalsupply" TargetMode="External"/><Relationship Id="rId7" Type="http://schemas.openxmlformats.org/officeDocument/2006/relationships/hyperlink" Target="https://wallet-api.xode.net/chain/circulatingsuppl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